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72E27" w14:textId="1ED96FE8" w:rsidR="003E52FB" w:rsidRPr="002B227F" w:rsidRDefault="00960190" w:rsidP="002B227F">
      <w:pPr>
        <w:rPr>
          <w:b/>
          <w:sz w:val="32"/>
          <w:szCs w:val="32"/>
          <w:lang w:val="fr-CA"/>
        </w:rPr>
      </w:pPr>
      <w:r w:rsidRPr="002B227F">
        <w:rPr>
          <w:b/>
          <w:sz w:val="32"/>
          <w:szCs w:val="32"/>
          <w:lang w:val="fr-CA"/>
        </w:rPr>
        <w:t>La matrice de contribution des partenaires</w:t>
      </w:r>
    </w:p>
    <w:p w14:paraId="09425547" w14:textId="58338AB2" w:rsidR="00882563" w:rsidRPr="00B327B7" w:rsidRDefault="00882563">
      <w:pPr>
        <w:rPr>
          <w:lang w:val="fr-CA"/>
        </w:rPr>
      </w:pPr>
      <w:r w:rsidRPr="00B327B7">
        <w:rPr>
          <w:lang w:val="fr-CA"/>
        </w:rPr>
        <w:t>Adapt</w:t>
      </w:r>
      <w:r w:rsidR="00F037A5" w:rsidRPr="00B327B7">
        <w:rPr>
          <w:lang w:val="fr-CA"/>
        </w:rPr>
        <w:t>ée</w:t>
      </w:r>
      <w:r w:rsidRPr="00B327B7">
        <w:rPr>
          <w:lang w:val="fr-CA"/>
        </w:rPr>
        <w:t xml:space="preserve"> </w:t>
      </w:r>
      <w:r w:rsidR="00F037A5" w:rsidRPr="00B327B7">
        <w:rPr>
          <w:lang w:val="fr-CA"/>
        </w:rPr>
        <w:t>depuis</w:t>
      </w:r>
      <w:r w:rsidRPr="00B327B7">
        <w:rPr>
          <w:lang w:val="fr-CA"/>
        </w:rPr>
        <w:t xml:space="preserve"> </w:t>
      </w:r>
      <w:r w:rsidRPr="00B327B7">
        <w:rPr>
          <w:i/>
          <w:lang w:val="fr-CA"/>
        </w:rPr>
        <w:t>Outil 8: Matric</w:t>
      </w:r>
      <w:r w:rsidR="00576ED4" w:rsidRPr="00B327B7">
        <w:rPr>
          <w:i/>
          <w:lang w:val="fr-CA"/>
        </w:rPr>
        <w:t>e</w:t>
      </w:r>
      <w:r w:rsidRPr="00B327B7">
        <w:rPr>
          <w:i/>
          <w:lang w:val="fr-CA"/>
        </w:rPr>
        <w:t xml:space="preserve"> d’analyse des ressources mises en jeu dans le partenariat. Repères et Outils pour des Partenariats Équitables et Solidaires, Cercle de Coopération des ONG de développement. Février 2013.</w:t>
      </w:r>
    </w:p>
    <w:tbl>
      <w:tblPr>
        <w:tblStyle w:val="TableGrid"/>
        <w:tblW w:w="14601" w:type="dxa"/>
        <w:tblInd w:w="-572" w:type="dxa"/>
        <w:tblLook w:val="04A0" w:firstRow="1" w:lastRow="0" w:firstColumn="1" w:lastColumn="0" w:noHBand="0" w:noVBand="1"/>
      </w:tblPr>
      <w:tblGrid>
        <w:gridCol w:w="4111"/>
        <w:gridCol w:w="2126"/>
        <w:gridCol w:w="1985"/>
        <w:gridCol w:w="1843"/>
        <w:gridCol w:w="2409"/>
        <w:gridCol w:w="2127"/>
      </w:tblGrid>
      <w:tr w:rsidR="00882563" w:rsidRPr="00B327B7" w14:paraId="0E72DEB0" w14:textId="77777777" w:rsidTr="008C2D96">
        <w:tc>
          <w:tcPr>
            <w:tcW w:w="4111" w:type="dxa"/>
          </w:tcPr>
          <w:p w14:paraId="50CE46BB" w14:textId="77777777" w:rsidR="00882563" w:rsidRPr="00B327B7" w:rsidRDefault="00882563">
            <w:pPr>
              <w:rPr>
                <w:lang w:val="fr-CA"/>
              </w:rPr>
            </w:pPr>
          </w:p>
        </w:tc>
        <w:tc>
          <w:tcPr>
            <w:tcW w:w="2126" w:type="dxa"/>
          </w:tcPr>
          <w:p w14:paraId="147C47C8" w14:textId="0B1D9680" w:rsidR="00882563" w:rsidRPr="002A7337" w:rsidRDefault="00B327B7">
            <w:pPr>
              <w:rPr>
                <w:b/>
                <w:bCs/>
                <w:lang w:val="fr-CA"/>
              </w:rPr>
            </w:pPr>
            <w:r w:rsidRPr="002A7337">
              <w:rPr>
                <w:b/>
                <w:bCs/>
                <w:lang w:val="fr-CA"/>
              </w:rPr>
              <w:t>Partenaire</w:t>
            </w:r>
            <w:r w:rsidR="00882563" w:rsidRPr="002A7337">
              <w:rPr>
                <w:b/>
                <w:bCs/>
                <w:lang w:val="fr-CA"/>
              </w:rPr>
              <w:t xml:space="preserve"> A</w:t>
            </w:r>
          </w:p>
        </w:tc>
        <w:tc>
          <w:tcPr>
            <w:tcW w:w="1985" w:type="dxa"/>
          </w:tcPr>
          <w:p w14:paraId="7EDA80F2" w14:textId="7E76332D" w:rsidR="00882563" w:rsidRPr="002A7337" w:rsidRDefault="00B327B7">
            <w:pPr>
              <w:rPr>
                <w:b/>
                <w:bCs/>
                <w:lang w:val="fr-CA"/>
              </w:rPr>
            </w:pPr>
            <w:r w:rsidRPr="002A7337">
              <w:rPr>
                <w:b/>
                <w:bCs/>
                <w:lang w:val="fr-CA"/>
              </w:rPr>
              <w:t>Partenaire</w:t>
            </w:r>
            <w:r w:rsidR="008F23BD" w:rsidRPr="002A7337">
              <w:rPr>
                <w:b/>
                <w:bCs/>
                <w:lang w:val="fr-CA"/>
              </w:rPr>
              <w:t xml:space="preserve"> </w:t>
            </w:r>
            <w:r w:rsidR="00882563" w:rsidRPr="002A7337">
              <w:rPr>
                <w:b/>
                <w:bCs/>
                <w:lang w:val="fr-CA"/>
              </w:rPr>
              <w:t>B</w:t>
            </w:r>
          </w:p>
        </w:tc>
        <w:tc>
          <w:tcPr>
            <w:tcW w:w="1843" w:type="dxa"/>
          </w:tcPr>
          <w:p w14:paraId="1F91B416" w14:textId="0F1EA17B" w:rsidR="00882563" w:rsidRPr="002A7337" w:rsidRDefault="00B327B7">
            <w:pPr>
              <w:rPr>
                <w:b/>
                <w:bCs/>
                <w:lang w:val="fr-CA"/>
              </w:rPr>
            </w:pPr>
            <w:r w:rsidRPr="002A7337">
              <w:rPr>
                <w:b/>
                <w:bCs/>
                <w:lang w:val="fr-CA"/>
              </w:rPr>
              <w:t>Partenaire</w:t>
            </w:r>
            <w:r w:rsidR="008F23BD" w:rsidRPr="002A7337">
              <w:rPr>
                <w:b/>
                <w:bCs/>
                <w:lang w:val="fr-CA"/>
              </w:rPr>
              <w:t xml:space="preserve"> </w:t>
            </w:r>
            <w:r w:rsidR="00882563" w:rsidRPr="002A7337">
              <w:rPr>
                <w:b/>
                <w:bCs/>
                <w:lang w:val="fr-CA"/>
              </w:rPr>
              <w:t>C</w:t>
            </w:r>
          </w:p>
        </w:tc>
        <w:tc>
          <w:tcPr>
            <w:tcW w:w="2409" w:type="dxa"/>
          </w:tcPr>
          <w:p w14:paraId="33B66052" w14:textId="04056B23" w:rsidR="00882563" w:rsidRPr="002A7337" w:rsidRDefault="00CF27C0">
            <w:pPr>
              <w:rPr>
                <w:b/>
                <w:bCs/>
                <w:lang w:val="fr-CA"/>
              </w:rPr>
            </w:pPr>
            <w:r w:rsidRPr="002A7337">
              <w:rPr>
                <w:b/>
                <w:bCs/>
                <w:lang w:val="fr-CA"/>
              </w:rPr>
              <w:t>Que manque-t-il encore à notre partenariat</w:t>
            </w:r>
            <w:r w:rsidR="00882563" w:rsidRPr="002A7337">
              <w:rPr>
                <w:b/>
                <w:bCs/>
                <w:lang w:val="fr-CA"/>
              </w:rPr>
              <w:t>?</w:t>
            </w:r>
          </w:p>
        </w:tc>
        <w:tc>
          <w:tcPr>
            <w:tcW w:w="2127" w:type="dxa"/>
          </w:tcPr>
          <w:p w14:paraId="769A09B2" w14:textId="32746B9A" w:rsidR="00882563" w:rsidRPr="002A7337" w:rsidRDefault="00B327B7">
            <w:pPr>
              <w:rPr>
                <w:b/>
                <w:bCs/>
                <w:lang w:val="fr-CA"/>
              </w:rPr>
            </w:pPr>
            <w:r w:rsidRPr="002A7337">
              <w:rPr>
                <w:b/>
                <w:bCs/>
                <w:lang w:val="fr-CA"/>
              </w:rPr>
              <w:t>Comment combler les lacunes</w:t>
            </w:r>
            <w:r w:rsidR="00882563" w:rsidRPr="002A7337">
              <w:rPr>
                <w:b/>
                <w:bCs/>
                <w:lang w:val="fr-CA"/>
              </w:rPr>
              <w:t>?</w:t>
            </w:r>
          </w:p>
        </w:tc>
      </w:tr>
      <w:tr w:rsidR="00882563" w:rsidRPr="0098397D" w14:paraId="6A695A74" w14:textId="77777777" w:rsidTr="008C2D96">
        <w:tc>
          <w:tcPr>
            <w:tcW w:w="4111" w:type="dxa"/>
          </w:tcPr>
          <w:p w14:paraId="1649965F" w14:textId="77777777" w:rsidR="00882563" w:rsidRDefault="00F567B0" w:rsidP="00F567B0">
            <w:pPr>
              <w:rPr>
                <w:lang w:val="fr-CA"/>
              </w:rPr>
            </w:pPr>
            <w:r w:rsidRPr="00B327B7">
              <w:rPr>
                <w:b/>
                <w:bCs/>
                <w:lang w:val="fr-CA"/>
              </w:rPr>
              <w:t>Capital social</w:t>
            </w:r>
            <w:r w:rsidRPr="00B327B7">
              <w:rPr>
                <w:lang w:val="fr-CA"/>
              </w:rPr>
              <w:t xml:space="preserve">: relations avec les membres de la communauté, les associations, les groupes </w:t>
            </w:r>
            <w:proofErr w:type="spellStart"/>
            <w:r w:rsidR="0098397D">
              <w:rPr>
                <w:lang w:val="fr-CA"/>
              </w:rPr>
              <w:t>réligeux</w:t>
            </w:r>
            <w:proofErr w:type="spellEnd"/>
            <w:r w:rsidRPr="00B327B7">
              <w:rPr>
                <w:lang w:val="fr-CA"/>
              </w:rPr>
              <w:t xml:space="preserve">, les institutions publiques, les bailleurs de fonds, les médias, les </w:t>
            </w:r>
            <w:proofErr w:type="spellStart"/>
            <w:r w:rsidRPr="00B327B7">
              <w:rPr>
                <w:lang w:val="fr-CA"/>
              </w:rPr>
              <w:t>chercheur</w:t>
            </w:r>
            <w:r w:rsidR="00FE3BA5">
              <w:rPr>
                <w:lang w:val="fr-CA"/>
              </w:rPr>
              <w:t>s</w:t>
            </w:r>
            <w:r w:rsidR="00F72ED7" w:rsidRPr="005B60BA">
              <w:rPr>
                <w:lang w:val="fr-CA"/>
              </w:rPr>
              <w:t>·</w:t>
            </w:r>
            <w:r w:rsidR="00FE3BA5">
              <w:rPr>
                <w:lang w:val="fr-CA"/>
              </w:rPr>
              <w:t>euse</w:t>
            </w:r>
            <w:r w:rsidRPr="00B327B7">
              <w:rPr>
                <w:lang w:val="fr-CA"/>
              </w:rPr>
              <w:t>s</w:t>
            </w:r>
            <w:proofErr w:type="spellEnd"/>
            <w:r w:rsidRPr="00B327B7">
              <w:rPr>
                <w:lang w:val="fr-CA"/>
              </w:rPr>
              <w:t xml:space="preserve">, les bibliothécaires, les </w:t>
            </w:r>
            <w:proofErr w:type="spellStart"/>
            <w:r w:rsidRPr="00B327B7">
              <w:rPr>
                <w:lang w:val="fr-CA"/>
              </w:rPr>
              <w:t>aîné</w:t>
            </w:r>
            <w:r w:rsidR="00FE3BA5" w:rsidRPr="005B60BA">
              <w:rPr>
                <w:lang w:val="fr-CA"/>
              </w:rPr>
              <w:t>·</w:t>
            </w:r>
            <w:r w:rsidR="00FE3BA5">
              <w:rPr>
                <w:lang w:val="fr-CA"/>
              </w:rPr>
              <w:t>e</w:t>
            </w:r>
            <w:r w:rsidR="00FE3BA5" w:rsidRPr="005B60BA">
              <w:rPr>
                <w:lang w:val="fr-CA"/>
              </w:rPr>
              <w:t>·</w:t>
            </w:r>
            <w:r w:rsidRPr="00B327B7">
              <w:rPr>
                <w:lang w:val="fr-CA"/>
              </w:rPr>
              <w:t>s</w:t>
            </w:r>
            <w:proofErr w:type="spellEnd"/>
            <w:r w:rsidRPr="00B327B7">
              <w:rPr>
                <w:lang w:val="fr-CA"/>
              </w:rPr>
              <w:t>, les universités et les centres de ressources. Opinion publique et réputation.</w:t>
            </w:r>
          </w:p>
          <w:p w14:paraId="67D5C480" w14:textId="589CE6A8" w:rsidR="002A7337" w:rsidRPr="002B227F" w:rsidRDefault="002A7337" w:rsidP="00F567B0">
            <w:pPr>
              <w:rPr>
                <w:sz w:val="12"/>
                <w:szCs w:val="12"/>
                <w:lang w:val="fr-CA"/>
              </w:rPr>
            </w:pPr>
          </w:p>
        </w:tc>
        <w:tc>
          <w:tcPr>
            <w:tcW w:w="2126" w:type="dxa"/>
          </w:tcPr>
          <w:p w14:paraId="0EE0560B" w14:textId="77777777" w:rsidR="00882563" w:rsidRPr="00B327B7" w:rsidRDefault="00882563">
            <w:pPr>
              <w:rPr>
                <w:lang w:val="fr-CA"/>
              </w:rPr>
            </w:pPr>
          </w:p>
        </w:tc>
        <w:tc>
          <w:tcPr>
            <w:tcW w:w="1985" w:type="dxa"/>
          </w:tcPr>
          <w:p w14:paraId="4F519AEB" w14:textId="77777777" w:rsidR="00882563" w:rsidRPr="00B327B7" w:rsidRDefault="00882563">
            <w:pPr>
              <w:rPr>
                <w:lang w:val="fr-CA"/>
              </w:rPr>
            </w:pPr>
          </w:p>
        </w:tc>
        <w:tc>
          <w:tcPr>
            <w:tcW w:w="1843" w:type="dxa"/>
          </w:tcPr>
          <w:p w14:paraId="08B108AF" w14:textId="77777777" w:rsidR="00882563" w:rsidRPr="00B327B7" w:rsidRDefault="00882563">
            <w:pPr>
              <w:rPr>
                <w:lang w:val="fr-CA"/>
              </w:rPr>
            </w:pPr>
          </w:p>
        </w:tc>
        <w:tc>
          <w:tcPr>
            <w:tcW w:w="2409" w:type="dxa"/>
          </w:tcPr>
          <w:p w14:paraId="0AA6D6DA" w14:textId="77777777" w:rsidR="00882563" w:rsidRPr="00B327B7" w:rsidRDefault="00882563">
            <w:pPr>
              <w:rPr>
                <w:lang w:val="fr-CA"/>
              </w:rPr>
            </w:pPr>
          </w:p>
        </w:tc>
        <w:tc>
          <w:tcPr>
            <w:tcW w:w="2127" w:type="dxa"/>
          </w:tcPr>
          <w:p w14:paraId="3D8D224B" w14:textId="77777777" w:rsidR="00882563" w:rsidRPr="00B327B7" w:rsidRDefault="00882563">
            <w:pPr>
              <w:rPr>
                <w:lang w:val="fr-CA"/>
              </w:rPr>
            </w:pPr>
          </w:p>
        </w:tc>
      </w:tr>
      <w:tr w:rsidR="00882563" w:rsidRPr="00666EB9" w14:paraId="2996DFD7" w14:textId="77777777" w:rsidTr="008C2D96">
        <w:tc>
          <w:tcPr>
            <w:tcW w:w="4111" w:type="dxa"/>
          </w:tcPr>
          <w:p w14:paraId="336458C7" w14:textId="77777777" w:rsidR="00882563" w:rsidRPr="002B227F" w:rsidRDefault="00D10E54" w:rsidP="001E62FC">
            <w:pPr>
              <w:rPr>
                <w:sz w:val="12"/>
                <w:szCs w:val="12"/>
                <w:lang w:val="fr-CA"/>
              </w:rPr>
            </w:pPr>
            <w:r w:rsidRPr="00B327B7">
              <w:rPr>
                <w:b/>
                <w:bCs/>
                <w:lang w:val="fr-CA"/>
              </w:rPr>
              <w:t>Informations et connaissances</w:t>
            </w:r>
            <w:r w:rsidRPr="00B327B7">
              <w:rPr>
                <w:lang w:val="fr-CA"/>
              </w:rPr>
              <w:t>: rapports, études, statistiques, connaissances et expériences communautaires, connaissances autochtones. Domaines d'expérience tels que l'évaluation, la planification, les médias sociaux, etc.</w:t>
            </w:r>
          </w:p>
          <w:p w14:paraId="66C011B8" w14:textId="201A7E19" w:rsidR="002A7337" w:rsidRPr="002B227F" w:rsidRDefault="002A7337" w:rsidP="001E62FC">
            <w:pPr>
              <w:rPr>
                <w:sz w:val="12"/>
                <w:szCs w:val="12"/>
                <w:lang w:val="fr-CA"/>
              </w:rPr>
            </w:pPr>
          </w:p>
        </w:tc>
        <w:tc>
          <w:tcPr>
            <w:tcW w:w="2126" w:type="dxa"/>
          </w:tcPr>
          <w:p w14:paraId="7174AA2A" w14:textId="77777777" w:rsidR="00882563" w:rsidRPr="00B327B7" w:rsidRDefault="00882563">
            <w:pPr>
              <w:rPr>
                <w:lang w:val="fr-CA"/>
              </w:rPr>
            </w:pPr>
          </w:p>
        </w:tc>
        <w:tc>
          <w:tcPr>
            <w:tcW w:w="1985" w:type="dxa"/>
          </w:tcPr>
          <w:p w14:paraId="23B103CC" w14:textId="77777777" w:rsidR="00882563" w:rsidRPr="00B327B7" w:rsidRDefault="00882563">
            <w:pPr>
              <w:rPr>
                <w:lang w:val="fr-CA"/>
              </w:rPr>
            </w:pPr>
          </w:p>
        </w:tc>
        <w:tc>
          <w:tcPr>
            <w:tcW w:w="1843" w:type="dxa"/>
          </w:tcPr>
          <w:p w14:paraId="58EB6A5F" w14:textId="77777777" w:rsidR="00882563" w:rsidRPr="00B327B7" w:rsidRDefault="00882563">
            <w:pPr>
              <w:rPr>
                <w:lang w:val="fr-CA"/>
              </w:rPr>
            </w:pPr>
          </w:p>
        </w:tc>
        <w:tc>
          <w:tcPr>
            <w:tcW w:w="2409" w:type="dxa"/>
          </w:tcPr>
          <w:p w14:paraId="5A5CA05E" w14:textId="77777777" w:rsidR="00882563" w:rsidRPr="00B327B7" w:rsidRDefault="00882563">
            <w:pPr>
              <w:rPr>
                <w:lang w:val="fr-CA"/>
              </w:rPr>
            </w:pPr>
          </w:p>
        </w:tc>
        <w:tc>
          <w:tcPr>
            <w:tcW w:w="2127" w:type="dxa"/>
          </w:tcPr>
          <w:p w14:paraId="2E811888" w14:textId="77777777" w:rsidR="00882563" w:rsidRPr="00B327B7" w:rsidRDefault="00882563">
            <w:pPr>
              <w:rPr>
                <w:lang w:val="fr-CA"/>
              </w:rPr>
            </w:pPr>
          </w:p>
        </w:tc>
      </w:tr>
      <w:tr w:rsidR="00882563" w:rsidRPr="00666EB9" w14:paraId="1E069F7E" w14:textId="77777777" w:rsidTr="008C2D96">
        <w:tc>
          <w:tcPr>
            <w:tcW w:w="4111" w:type="dxa"/>
          </w:tcPr>
          <w:p w14:paraId="653D6522" w14:textId="77777777" w:rsidR="00882563" w:rsidRDefault="00EF30D1" w:rsidP="00EF30D1">
            <w:pPr>
              <w:rPr>
                <w:lang w:val="fr-CA"/>
              </w:rPr>
            </w:pPr>
            <w:r w:rsidRPr="00B327B7">
              <w:rPr>
                <w:b/>
                <w:bCs/>
                <w:lang w:val="fr-CA"/>
              </w:rPr>
              <w:t>Capital humain</w:t>
            </w:r>
            <w:r w:rsidRPr="00B327B7">
              <w:rPr>
                <w:lang w:val="fr-CA"/>
              </w:rPr>
              <w:t xml:space="preserve">: soutien à la coordination, spécialistes, </w:t>
            </w:r>
            <w:proofErr w:type="spellStart"/>
            <w:r w:rsidRPr="00B327B7">
              <w:rPr>
                <w:lang w:val="fr-CA"/>
              </w:rPr>
              <w:t>personnel</w:t>
            </w:r>
            <w:r w:rsidR="005B122B" w:rsidRPr="005B60BA">
              <w:rPr>
                <w:lang w:val="fr-CA"/>
              </w:rPr>
              <w:t>·</w:t>
            </w:r>
            <w:r w:rsidR="005B122B">
              <w:rPr>
                <w:lang w:val="fr-CA"/>
              </w:rPr>
              <w:t>le</w:t>
            </w:r>
            <w:proofErr w:type="spellEnd"/>
            <w:r w:rsidRPr="00B327B7">
              <w:rPr>
                <w:lang w:val="fr-CA"/>
              </w:rPr>
              <w:t xml:space="preserve"> de première ligne, </w:t>
            </w:r>
            <w:proofErr w:type="spellStart"/>
            <w:r w:rsidR="00BE7D3E" w:rsidRPr="00B327B7">
              <w:rPr>
                <w:lang w:val="fr-CA"/>
              </w:rPr>
              <w:t>expert</w:t>
            </w:r>
            <w:r w:rsidR="005B122B" w:rsidRPr="005B60BA">
              <w:rPr>
                <w:lang w:val="fr-CA"/>
              </w:rPr>
              <w:t>·</w:t>
            </w:r>
            <w:r w:rsidR="005B122B">
              <w:rPr>
                <w:lang w:val="fr-CA"/>
              </w:rPr>
              <w:t>e</w:t>
            </w:r>
            <w:r w:rsidR="005B122B" w:rsidRPr="005B60BA">
              <w:rPr>
                <w:lang w:val="fr-CA"/>
              </w:rPr>
              <w:t>·</w:t>
            </w:r>
            <w:r w:rsidR="00BE7D3E" w:rsidRPr="00B327B7">
              <w:rPr>
                <w:lang w:val="fr-CA"/>
              </w:rPr>
              <w:t>s</w:t>
            </w:r>
            <w:proofErr w:type="spellEnd"/>
            <w:r w:rsidR="00BE7D3E">
              <w:rPr>
                <w:lang w:val="fr-CA"/>
              </w:rPr>
              <w:t xml:space="preserve"> </w:t>
            </w:r>
            <w:r w:rsidR="00BE7D3E" w:rsidRPr="00B327B7">
              <w:rPr>
                <w:lang w:val="fr-CA"/>
              </w:rPr>
              <w:t>locaux</w:t>
            </w:r>
            <w:r w:rsidR="00BE7D3E">
              <w:rPr>
                <w:lang w:val="fr-CA"/>
              </w:rPr>
              <w:t>,</w:t>
            </w:r>
            <w:r w:rsidR="00BE7D3E" w:rsidRPr="00B327B7">
              <w:rPr>
                <w:lang w:val="fr-CA"/>
              </w:rPr>
              <w:t xml:space="preserve"> </w:t>
            </w:r>
            <w:proofErr w:type="spellStart"/>
            <w:r w:rsidR="00BE7D3E" w:rsidRPr="00B327B7">
              <w:rPr>
                <w:lang w:val="fr-CA"/>
              </w:rPr>
              <w:t>aîné</w:t>
            </w:r>
            <w:r w:rsidR="005B122B" w:rsidRPr="005B60BA">
              <w:rPr>
                <w:lang w:val="fr-CA"/>
              </w:rPr>
              <w:t>·</w:t>
            </w:r>
            <w:r w:rsidR="005B122B">
              <w:rPr>
                <w:lang w:val="fr-CA"/>
              </w:rPr>
              <w:t>e</w:t>
            </w:r>
            <w:r w:rsidR="005B122B" w:rsidRPr="005B60BA">
              <w:rPr>
                <w:lang w:val="fr-CA"/>
              </w:rPr>
              <w:t>·</w:t>
            </w:r>
            <w:r w:rsidR="00BE7D3E" w:rsidRPr="00B327B7">
              <w:rPr>
                <w:lang w:val="fr-CA"/>
              </w:rPr>
              <w:t>s</w:t>
            </w:r>
            <w:proofErr w:type="spellEnd"/>
            <w:r w:rsidR="00BE7D3E" w:rsidRPr="00B327B7">
              <w:rPr>
                <w:lang w:val="fr-CA"/>
              </w:rPr>
              <w:t xml:space="preserve">, </w:t>
            </w:r>
            <w:proofErr w:type="spellStart"/>
            <w:r w:rsidR="00BE7D3E" w:rsidRPr="00B327B7">
              <w:rPr>
                <w:lang w:val="fr-CA"/>
              </w:rPr>
              <w:t>consultant</w:t>
            </w:r>
            <w:r w:rsidR="005B122B" w:rsidRPr="005B60BA">
              <w:rPr>
                <w:lang w:val="fr-CA"/>
              </w:rPr>
              <w:t>·</w:t>
            </w:r>
            <w:r w:rsidR="005B122B">
              <w:rPr>
                <w:lang w:val="fr-CA"/>
              </w:rPr>
              <w:t>e</w:t>
            </w:r>
            <w:r w:rsidR="005B122B" w:rsidRPr="005B60BA">
              <w:rPr>
                <w:lang w:val="fr-CA"/>
              </w:rPr>
              <w:t>·</w:t>
            </w:r>
            <w:r w:rsidR="00BE7D3E" w:rsidRPr="00B327B7">
              <w:rPr>
                <w:lang w:val="fr-CA"/>
              </w:rPr>
              <w:t>s</w:t>
            </w:r>
            <w:proofErr w:type="spellEnd"/>
            <w:r w:rsidR="00BE7D3E">
              <w:rPr>
                <w:lang w:val="fr-CA"/>
              </w:rPr>
              <w:t>,</w:t>
            </w:r>
            <w:r w:rsidR="00BE7D3E" w:rsidRPr="00B327B7">
              <w:rPr>
                <w:lang w:val="fr-CA"/>
              </w:rPr>
              <w:t xml:space="preserve"> </w:t>
            </w:r>
            <w:proofErr w:type="spellStart"/>
            <w:r w:rsidR="00D71E3F" w:rsidRPr="00B327B7">
              <w:rPr>
                <w:lang w:val="fr-CA"/>
              </w:rPr>
              <w:t>directeurs</w:t>
            </w:r>
            <w:r w:rsidR="002A7337" w:rsidRPr="005B60BA">
              <w:rPr>
                <w:lang w:val="fr-CA"/>
              </w:rPr>
              <w:t>·</w:t>
            </w:r>
            <w:r w:rsidR="002A7337">
              <w:rPr>
                <w:lang w:val="fr-CA"/>
              </w:rPr>
              <w:t>rices</w:t>
            </w:r>
            <w:proofErr w:type="spellEnd"/>
            <w:r w:rsidRPr="00B327B7">
              <w:rPr>
                <w:lang w:val="fr-CA"/>
              </w:rPr>
              <w:t>, soutien administratif</w:t>
            </w:r>
            <w:r w:rsidR="00AE76DD">
              <w:rPr>
                <w:lang w:val="fr-CA"/>
              </w:rPr>
              <w:t>,</w:t>
            </w:r>
            <w:r w:rsidR="00AE76DD" w:rsidRPr="00B327B7">
              <w:rPr>
                <w:lang w:val="fr-CA"/>
              </w:rPr>
              <w:t xml:space="preserve"> </w:t>
            </w:r>
            <w:proofErr w:type="spellStart"/>
            <w:r w:rsidR="00AE76DD" w:rsidRPr="00B327B7">
              <w:rPr>
                <w:lang w:val="fr-CA"/>
              </w:rPr>
              <w:t>étudiant</w:t>
            </w:r>
            <w:r w:rsidR="002A7337" w:rsidRPr="005B60BA">
              <w:rPr>
                <w:lang w:val="fr-CA"/>
              </w:rPr>
              <w:t>·</w:t>
            </w:r>
            <w:r w:rsidR="002A7337">
              <w:rPr>
                <w:lang w:val="fr-CA"/>
              </w:rPr>
              <w:t>e</w:t>
            </w:r>
            <w:r w:rsidR="002A7337" w:rsidRPr="005B60BA">
              <w:rPr>
                <w:lang w:val="fr-CA"/>
              </w:rPr>
              <w:t>·</w:t>
            </w:r>
            <w:r w:rsidR="00AE76DD" w:rsidRPr="00B327B7">
              <w:rPr>
                <w:lang w:val="fr-CA"/>
              </w:rPr>
              <w:t>s</w:t>
            </w:r>
            <w:proofErr w:type="spellEnd"/>
            <w:r w:rsidR="00AE76DD" w:rsidRPr="00B327B7">
              <w:rPr>
                <w:lang w:val="fr-CA"/>
              </w:rPr>
              <w:t>, bénévoles,</w:t>
            </w:r>
            <w:r w:rsidR="00AE76DD">
              <w:rPr>
                <w:lang w:val="fr-CA"/>
              </w:rPr>
              <w:t xml:space="preserve"> etc.</w:t>
            </w:r>
          </w:p>
          <w:p w14:paraId="1C160B0E" w14:textId="2BAEA003" w:rsidR="002A7337" w:rsidRPr="002B227F" w:rsidRDefault="002A7337" w:rsidP="00EF30D1">
            <w:pPr>
              <w:rPr>
                <w:sz w:val="12"/>
                <w:szCs w:val="12"/>
                <w:lang w:val="fr-CA"/>
              </w:rPr>
            </w:pPr>
          </w:p>
        </w:tc>
        <w:tc>
          <w:tcPr>
            <w:tcW w:w="2126" w:type="dxa"/>
          </w:tcPr>
          <w:p w14:paraId="14B2EAA9" w14:textId="1237C622" w:rsidR="00882563" w:rsidRPr="0010384A" w:rsidRDefault="00882563">
            <w:pPr>
              <w:rPr>
                <w:lang w:val="fr-CA"/>
              </w:rPr>
            </w:pPr>
          </w:p>
        </w:tc>
        <w:tc>
          <w:tcPr>
            <w:tcW w:w="1985" w:type="dxa"/>
          </w:tcPr>
          <w:p w14:paraId="2EE10F51" w14:textId="77777777" w:rsidR="00882563" w:rsidRPr="0010384A" w:rsidRDefault="00882563">
            <w:pPr>
              <w:rPr>
                <w:lang w:val="fr-CA"/>
              </w:rPr>
            </w:pPr>
          </w:p>
        </w:tc>
        <w:tc>
          <w:tcPr>
            <w:tcW w:w="1843" w:type="dxa"/>
          </w:tcPr>
          <w:p w14:paraId="0B155991" w14:textId="77777777" w:rsidR="00882563" w:rsidRPr="0010384A" w:rsidRDefault="00882563">
            <w:pPr>
              <w:rPr>
                <w:lang w:val="fr-CA"/>
              </w:rPr>
            </w:pPr>
          </w:p>
        </w:tc>
        <w:tc>
          <w:tcPr>
            <w:tcW w:w="2409" w:type="dxa"/>
          </w:tcPr>
          <w:p w14:paraId="4D19B98F" w14:textId="77777777" w:rsidR="00882563" w:rsidRPr="0010384A" w:rsidRDefault="00882563">
            <w:pPr>
              <w:rPr>
                <w:lang w:val="fr-CA"/>
              </w:rPr>
            </w:pPr>
          </w:p>
        </w:tc>
        <w:tc>
          <w:tcPr>
            <w:tcW w:w="2127" w:type="dxa"/>
          </w:tcPr>
          <w:p w14:paraId="6EF09164" w14:textId="77777777" w:rsidR="00882563" w:rsidRPr="0010384A" w:rsidRDefault="00882563">
            <w:pPr>
              <w:rPr>
                <w:lang w:val="fr-CA"/>
              </w:rPr>
            </w:pPr>
          </w:p>
        </w:tc>
      </w:tr>
      <w:tr w:rsidR="00882563" w:rsidRPr="00666EB9" w14:paraId="783A1DF3" w14:textId="77777777" w:rsidTr="008C2D96">
        <w:tc>
          <w:tcPr>
            <w:tcW w:w="4111" w:type="dxa"/>
          </w:tcPr>
          <w:p w14:paraId="4B71C51D" w14:textId="77777777" w:rsidR="00882563" w:rsidRDefault="003B5FA5" w:rsidP="003B5FA5">
            <w:pPr>
              <w:rPr>
                <w:lang w:val="fr-CA"/>
              </w:rPr>
            </w:pPr>
            <w:r w:rsidRPr="00B327B7">
              <w:rPr>
                <w:b/>
                <w:bCs/>
                <w:lang w:val="fr-CA"/>
              </w:rPr>
              <w:t>Capital physique</w:t>
            </w:r>
            <w:r w:rsidRPr="00B327B7">
              <w:rPr>
                <w:lang w:val="fr-CA"/>
              </w:rPr>
              <w:t>: infrastructures telles que des bureaux, salles de réunion, équipement, informatique et technologie</w:t>
            </w:r>
            <w:r w:rsidR="002A7337">
              <w:rPr>
                <w:lang w:val="fr-CA"/>
              </w:rPr>
              <w:t>.</w:t>
            </w:r>
          </w:p>
          <w:p w14:paraId="7F21697B" w14:textId="7F5DC594" w:rsidR="002A7337" w:rsidRPr="002B227F" w:rsidRDefault="002A7337" w:rsidP="003B5FA5">
            <w:pPr>
              <w:rPr>
                <w:sz w:val="12"/>
                <w:szCs w:val="12"/>
                <w:lang w:val="fr-CA"/>
              </w:rPr>
            </w:pPr>
          </w:p>
        </w:tc>
        <w:tc>
          <w:tcPr>
            <w:tcW w:w="2126" w:type="dxa"/>
          </w:tcPr>
          <w:p w14:paraId="3FD8832D" w14:textId="77777777" w:rsidR="00882563" w:rsidRPr="00B327B7" w:rsidRDefault="00882563">
            <w:pPr>
              <w:rPr>
                <w:lang w:val="fr-CA"/>
              </w:rPr>
            </w:pPr>
          </w:p>
        </w:tc>
        <w:tc>
          <w:tcPr>
            <w:tcW w:w="1985" w:type="dxa"/>
          </w:tcPr>
          <w:p w14:paraId="702D39F9" w14:textId="77777777" w:rsidR="00882563" w:rsidRPr="00B327B7" w:rsidRDefault="00882563">
            <w:pPr>
              <w:rPr>
                <w:lang w:val="fr-CA"/>
              </w:rPr>
            </w:pPr>
          </w:p>
        </w:tc>
        <w:tc>
          <w:tcPr>
            <w:tcW w:w="1843" w:type="dxa"/>
          </w:tcPr>
          <w:p w14:paraId="1216037D" w14:textId="77777777" w:rsidR="00882563" w:rsidRPr="00B327B7" w:rsidRDefault="00882563">
            <w:pPr>
              <w:rPr>
                <w:lang w:val="fr-CA"/>
              </w:rPr>
            </w:pPr>
          </w:p>
        </w:tc>
        <w:tc>
          <w:tcPr>
            <w:tcW w:w="2409" w:type="dxa"/>
          </w:tcPr>
          <w:p w14:paraId="719099F7" w14:textId="77777777" w:rsidR="00882563" w:rsidRPr="00B327B7" w:rsidRDefault="00882563">
            <w:pPr>
              <w:rPr>
                <w:lang w:val="fr-CA"/>
              </w:rPr>
            </w:pPr>
          </w:p>
        </w:tc>
        <w:tc>
          <w:tcPr>
            <w:tcW w:w="2127" w:type="dxa"/>
          </w:tcPr>
          <w:p w14:paraId="536F847A" w14:textId="77777777" w:rsidR="00882563" w:rsidRPr="00B327B7" w:rsidRDefault="00882563">
            <w:pPr>
              <w:rPr>
                <w:lang w:val="fr-CA"/>
              </w:rPr>
            </w:pPr>
          </w:p>
        </w:tc>
      </w:tr>
      <w:tr w:rsidR="00882563" w:rsidRPr="00666EB9" w14:paraId="58356B95" w14:textId="77777777" w:rsidTr="008C2D96">
        <w:tc>
          <w:tcPr>
            <w:tcW w:w="4111" w:type="dxa"/>
          </w:tcPr>
          <w:p w14:paraId="31B96080" w14:textId="77777777" w:rsidR="00882563" w:rsidRDefault="008F23BD">
            <w:pPr>
              <w:rPr>
                <w:bCs/>
                <w:lang w:val="fr-CA"/>
              </w:rPr>
            </w:pPr>
            <w:r w:rsidRPr="00B327B7">
              <w:rPr>
                <w:b/>
                <w:lang w:val="fr-CA"/>
              </w:rPr>
              <w:t xml:space="preserve">Capital financier: </w:t>
            </w:r>
            <w:r w:rsidRPr="00B327B7">
              <w:rPr>
                <w:bCs/>
                <w:lang w:val="fr-CA"/>
              </w:rPr>
              <w:t>dons, subventions, revenus, sources de financement</w:t>
            </w:r>
            <w:r w:rsidR="002A7337">
              <w:rPr>
                <w:bCs/>
                <w:lang w:val="fr-CA"/>
              </w:rPr>
              <w:t>.</w:t>
            </w:r>
          </w:p>
          <w:p w14:paraId="689BE71D" w14:textId="66A3B73C" w:rsidR="002A7337" w:rsidRPr="002B227F" w:rsidRDefault="002A7337">
            <w:pPr>
              <w:rPr>
                <w:sz w:val="12"/>
                <w:szCs w:val="12"/>
                <w:lang w:val="fr-CA"/>
              </w:rPr>
            </w:pPr>
          </w:p>
        </w:tc>
        <w:tc>
          <w:tcPr>
            <w:tcW w:w="2126" w:type="dxa"/>
          </w:tcPr>
          <w:p w14:paraId="3FFE3CD8" w14:textId="77777777" w:rsidR="00882563" w:rsidRPr="00B327B7" w:rsidRDefault="00882563">
            <w:pPr>
              <w:rPr>
                <w:lang w:val="fr-CA"/>
              </w:rPr>
            </w:pPr>
          </w:p>
        </w:tc>
        <w:tc>
          <w:tcPr>
            <w:tcW w:w="1985" w:type="dxa"/>
          </w:tcPr>
          <w:p w14:paraId="1771073C" w14:textId="77777777" w:rsidR="00882563" w:rsidRPr="00B327B7" w:rsidRDefault="00882563">
            <w:pPr>
              <w:rPr>
                <w:lang w:val="fr-CA"/>
              </w:rPr>
            </w:pPr>
          </w:p>
        </w:tc>
        <w:tc>
          <w:tcPr>
            <w:tcW w:w="1843" w:type="dxa"/>
          </w:tcPr>
          <w:p w14:paraId="662F3753" w14:textId="77777777" w:rsidR="00882563" w:rsidRPr="00B327B7" w:rsidRDefault="00882563">
            <w:pPr>
              <w:rPr>
                <w:lang w:val="fr-CA"/>
              </w:rPr>
            </w:pPr>
          </w:p>
        </w:tc>
        <w:tc>
          <w:tcPr>
            <w:tcW w:w="2409" w:type="dxa"/>
          </w:tcPr>
          <w:p w14:paraId="3C6A63A3" w14:textId="77777777" w:rsidR="00882563" w:rsidRPr="00B327B7" w:rsidRDefault="00882563">
            <w:pPr>
              <w:rPr>
                <w:lang w:val="fr-CA"/>
              </w:rPr>
            </w:pPr>
          </w:p>
        </w:tc>
        <w:tc>
          <w:tcPr>
            <w:tcW w:w="2127" w:type="dxa"/>
          </w:tcPr>
          <w:p w14:paraId="587D410D" w14:textId="77777777" w:rsidR="00882563" w:rsidRPr="00B327B7" w:rsidRDefault="00882563">
            <w:pPr>
              <w:rPr>
                <w:lang w:val="fr-CA"/>
              </w:rPr>
            </w:pPr>
          </w:p>
        </w:tc>
      </w:tr>
      <w:tr w:rsidR="007950A9" w:rsidRPr="00B327B7" w14:paraId="043EF0D4" w14:textId="77777777" w:rsidTr="008C2D96">
        <w:tc>
          <w:tcPr>
            <w:tcW w:w="4111" w:type="dxa"/>
          </w:tcPr>
          <w:p w14:paraId="146D277F" w14:textId="45D4835B" w:rsidR="007950A9" w:rsidRDefault="008F23BD">
            <w:pPr>
              <w:rPr>
                <w:b/>
                <w:lang w:val="fr-CA"/>
              </w:rPr>
            </w:pPr>
            <w:r w:rsidRPr="00B327B7">
              <w:rPr>
                <w:b/>
                <w:lang w:val="fr-CA"/>
              </w:rPr>
              <w:t>Autre</w:t>
            </w:r>
            <w:r w:rsidR="007950A9" w:rsidRPr="00B327B7">
              <w:rPr>
                <w:b/>
                <w:lang w:val="fr-CA"/>
              </w:rPr>
              <w:t xml:space="preserve">: </w:t>
            </w:r>
          </w:p>
          <w:p w14:paraId="5BB51560" w14:textId="77777777" w:rsidR="007950A9" w:rsidRDefault="007950A9">
            <w:pPr>
              <w:rPr>
                <w:b/>
                <w:lang w:val="fr-CA"/>
              </w:rPr>
            </w:pPr>
          </w:p>
          <w:p w14:paraId="646D40E3" w14:textId="334E3E34" w:rsidR="002B227F" w:rsidRPr="002B227F" w:rsidRDefault="002B227F">
            <w:pPr>
              <w:rPr>
                <w:b/>
                <w:sz w:val="12"/>
                <w:szCs w:val="12"/>
                <w:lang w:val="fr-CA"/>
              </w:rPr>
            </w:pPr>
          </w:p>
        </w:tc>
        <w:tc>
          <w:tcPr>
            <w:tcW w:w="2126" w:type="dxa"/>
          </w:tcPr>
          <w:p w14:paraId="4E5F2439" w14:textId="77777777" w:rsidR="007950A9" w:rsidRPr="00B327B7" w:rsidRDefault="007950A9">
            <w:pPr>
              <w:rPr>
                <w:lang w:val="fr-CA"/>
              </w:rPr>
            </w:pPr>
          </w:p>
        </w:tc>
        <w:tc>
          <w:tcPr>
            <w:tcW w:w="1985" w:type="dxa"/>
          </w:tcPr>
          <w:p w14:paraId="32FD7DCB" w14:textId="77777777" w:rsidR="007950A9" w:rsidRPr="00B327B7" w:rsidRDefault="007950A9">
            <w:pPr>
              <w:rPr>
                <w:lang w:val="fr-CA"/>
              </w:rPr>
            </w:pPr>
          </w:p>
        </w:tc>
        <w:tc>
          <w:tcPr>
            <w:tcW w:w="1843" w:type="dxa"/>
          </w:tcPr>
          <w:p w14:paraId="41CF9B7B" w14:textId="77777777" w:rsidR="007950A9" w:rsidRPr="00B327B7" w:rsidRDefault="007950A9">
            <w:pPr>
              <w:rPr>
                <w:lang w:val="fr-CA"/>
              </w:rPr>
            </w:pPr>
          </w:p>
        </w:tc>
        <w:tc>
          <w:tcPr>
            <w:tcW w:w="2409" w:type="dxa"/>
          </w:tcPr>
          <w:p w14:paraId="548C8324" w14:textId="77777777" w:rsidR="007950A9" w:rsidRPr="00B327B7" w:rsidRDefault="007950A9">
            <w:pPr>
              <w:rPr>
                <w:lang w:val="fr-CA"/>
              </w:rPr>
            </w:pPr>
          </w:p>
        </w:tc>
        <w:tc>
          <w:tcPr>
            <w:tcW w:w="2127" w:type="dxa"/>
          </w:tcPr>
          <w:p w14:paraId="2D8FE488" w14:textId="77777777" w:rsidR="007950A9" w:rsidRPr="00B327B7" w:rsidRDefault="007950A9">
            <w:pPr>
              <w:rPr>
                <w:lang w:val="fr-CA"/>
              </w:rPr>
            </w:pPr>
          </w:p>
        </w:tc>
      </w:tr>
    </w:tbl>
    <w:p w14:paraId="7DA9AA10" w14:textId="77777777" w:rsidR="00882563" w:rsidRPr="00B327B7" w:rsidRDefault="00882563">
      <w:pPr>
        <w:rPr>
          <w:lang w:val="fr-CA"/>
        </w:rPr>
      </w:pPr>
    </w:p>
    <w:sectPr w:rsidR="00882563" w:rsidRPr="00B327B7" w:rsidSect="00576ED4">
      <w:headerReference w:type="default" r:id="rId10"/>
      <w:pgSz w:w="15840" w:h="12240" w:orient="landscape"/>
      <w:pgMar w:top="873" w:right="1134" w:bottom="873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1D9C9D" w14:textId="77777777" w:rsidR="0010384A" w:rsidRDefault="0010384A" w:rsidP="0010384A">
      <w:pPr>
        <w:spacing w:after="0" w:line="240" w:lineRule="auto"/>
      </w:pPr>
      <w:r>
        <w:separator/>
      </w:r>
    </w:p>
  </w:endnote>
  <w:endnote w:type="continuationSeparator" w:id="0">
    <w:p w14:paraId="1A96F141" w14:textId="77777777" w:rsidR="0010384A" w:rsidRDefault="0010384A" w:rsidP="00103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C2CCD1" w14:textId="77777777" w:rsidR="0010384A" w:rsidRDefault="0010384A" w:rsidP="0010384A">
      <w:pPr>
        <w:spacing w:after="0" w:line="240" w:lineRule="auto"/>
      </w:pPr>
      <w:r>
        <w:separator/>
      </w:r>
    </w:p>
  </w:footnote>
  <w:footnote w:type="continuationSeparator" w:id="0">
    <w:p w14:paraId="60BC5490" w14:textId="77777777" w:rsidR="0010384A" w:rsidRDefault="0010384A" w:rsidP="00103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F776A" w14:textId="600AC7D8" w:rsidR="002B227F" w:rsidRDefault="002B227F">
    <w:pPr>
      <w:pStyle w:val="Header"/>
    </w:pPr>
    <w:r w:rsidRPr="00B327B7">
      <w:rPr>
        <w:b/>
        <w:noProof/>
        <w:sz w:val="28"/>
        <w:szCs w:val="28"/>
        <w:lang w:val="fr-CA" w:eastAsia="en-CA"/>
      </w:rPr>
      <w:drawing>
        <wp:anchor distT="0" distB="0" distL="114300" distR="114300" simplePos="0" relativeHeight="251659264" behindDoc="0" locked="0" layoutInCell="1" allowOverlap="1" wp14:anchorId="5B39D1DE" wp14:editId="7256A3F3">
          <wp:simplePos x="0" y="0"/>
          <wp:positionH relativeFrom="column">
            <wp:posOffset>-63795</wp:posOffset>
          </wp:positionH>
          <wp:positionV relativeFrom="paragraph">
            <wp:posOffset>-53104</wp:posOffset>
          </wp:positionV>
          <wp:extent cx="2999105" cy="41973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lth_Nexus_hor_2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9105" cy="4197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B7711B8" w14:textId="77777777" w:rsidR="002B227F" w:rsidRDefault="002B22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563"/>
    <w:rsid w:val="0007180A"/>
    <w:rsid w:val="000A03CF"/>
    <w:rsid w:val="0010384A"/>
    <w:rsid w:val="00135177"/>
    <w:rsid w:val="0014104B"/>
    <w:rsid w:val="001950CE"/>
    <w:rsid w:val="001E62FC"/>
    <w:rsid w:val="002606E4"/>
    <w:rsid w:val="002A7337"/>
    <w:rsid w:val="002B227F"/>
    <w:rsid w:val="003803FD"/>
    <w:rsid w:val="003B07F4"/>
    <w:rsid w:val="003B5FA5"/>
    <w:rsid w:val="003E52FB"/>
    <w:rsid w:val="00534F51"/>
    <w:rsid w:val="0054033B"/>
    <w:rsid w:val="00576ED4"/>
    <w:rsid w:val="005B122B"/>
    <w:rsid w:val="00666EB9"/>
    <w:rsid w:val="00681FF5"/>
    <w:rsid w:val="00691942"/>
    <w:rsid w:val="007950A9"/>
    <w:rsid w:val="00882563"/>
    <w:rsid w:val="008C2D96"/>
    <w:rsid w:val="008F23BD"/>
    <w:rsid w:val="00960190"/>
    <w:rsid w:val="009773C3"/>
    <w:rsid w:val="0098397D"/>
    <w:rsid w:val="0099547E"/>
    <w:rsid w:val="00AE76DD"/>
    <w:rsid w:val="00B327B7"/>
    <w:rsid w:val="00B71F72"/>
    <w:rsid w:val="00BE7D3E"/>
    <w:rsid w:val="00CF27C0"/>
    <w:rsid w:val="00D10E54"/>
    <w:rsid w:val="00D71E3F"/>
    <w:rsid w:val="00EA6B3A"/>
    <w:rsid w:val="00EF30D1"/>
    <w:rsid w:val="00F037A5"/>
    <w:rsid w:val="00F567B0"/>
    <w:rsid w:val="00F72ED7"/>
    <w:rsid w:val="00FE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C8427"/>
  <w15:docId w15:val="{4ABC331A-30E8-4462-9C26-5C7E49CDC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2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03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33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803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03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03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03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03F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03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84A"/>
  </w:style>
  <w:style w:type="paragraph" w:styleId="Footer">
    <w:name w:val="footer"/>
    <w:basedOn w:val="Normal"/>
    <w:link w:val="FooterChar"/>
    <w:uiPriority w:val="99"/>
    <w:unhideWhenUsed/>
    <w:rsid w:val="00103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8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798C1BFEB0484D9D458B31465EF215" ma:contentTypeVersion="15" ma:contentTypeDescription="Create a new document." ma:contentTypeScope="" ma:versionID="8741fe58f8f31d76f98912b6fc3aa59f">
  <xsd:schema xmlns:xsd="http://www.w3.org/2001/XMLSchema" xmlns:xs="http://www.w3.org/2001/XMLSchema" xmlns:p="http://schemas.microsoft.com/office/2006/metadata/properties" xmlns:ns2="0305d313-9759-4b34-a65c-c4083c3cbf19" xmlns:ns3="ff3fa275-b05e-4a78-bb05-084dff3daa1e" targetNamespace="http://schemas.microsoft.com/office/2006/metadata/properties" ma:root="true" ma:fieldsID="f707e18294adfecfdaeeb71ff02bca1f" ns2:_="" ns3:_="">
    <xsd:import namespace="0305d313-9759-4b34-a65c-c4083c3cbf19"/>
    <xsd:import namespace="ff3fa275-b05e-4a78-bb05-084dff3daa1e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s" minOccurs="0"/>
                <xsd:element ref="ns2:Dat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05d313-9759-4b34-a65c-c4083c3cbf19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Description" ma:default="This is a description" ma:description="This is a description column" ma:format="Dropdown" ma:internalName="Description">
      <xsd:simpleType>
        <xsd:restriction base="dms:Note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Dates" ma:index="19" nillable="true" ma:displayName="Dates" ma:format="DateTime" ma:internalName="Dates">
      <xsd:simpleType>
        <xsd:restriction base="dms:DateTime"/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3fa275-b05e-4a78-bb05-084dff3daa1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0305d313-9759-4b34-a65c-c4083c3cbf19">This is a description</Description>
    <Dates xmlns="0305d313-9759-4b34-a65c-c4083c3cbf19" xsi:nil="true"/>
    <Date xmlns="0305d313-9759-4b34-a65c-c4083c3cbf1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25DD9-14C9-4B0B-8809-CDCEEF27C4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05d313-9759-4b34-a65c-c4083c3cbf19"/>
    <ds:schemaRef ds:uri="ff3fa275-b05e-4a78-bb05-084dff3daa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5D4BF7-E6A0-4DC2-85FC-B5892DB356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3D230E-651C-451D-B5B4-DA9B33060DC6}">
  <ds:schemaRefs>
    <ds:schemaRef ds:uri="http://schemas.microsoft.com/office/2006/metadata/properties"/>
    <ds:schemaRef ds:uri="http://schemas.microsoft.com/office/infopath/2007/PartnerControls"/>
    <ds:schemaRef ds:uri="0305d313-9759-4b34-a65c-c4083c3cbf19"/>
  </ds:schemaRefs>
</ds:datastoreItem>
</file>

<file path=customXml/itemProps4.xml><?xml version="1.0" encoding="utf-8"?>
<ds:datastoreItem xmlns:ds="http://schemas.openxmlformats.org/officeDocument/2006/customXml" ds:itemID="{BFB93178-0154-49D4-B7AC-6A7D89F39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Nexus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Bodkin, Andrea</dc:creator>
  <cp:lastModifiedBy>Gillian Kranias</cp:lastModifiedBy>
  <cp:revision>29</cp:revision>
  <cp:lastPrinted>2017-10-24T17:50:00Z</cp:lastPrinted>
  <dcterms:created xsi:type="dcterms:W3CDTF">2020-02-20T17:39:00Z</dcterms:created>
  <dcterms:modified xsi:type="dcterms:W3CDTF">2020-04-22T14:53:00Z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0x0101000E798C1BFEB0484D9D458B31465EF215</vt:lpwstr>
  </property>
</Properties>
</file>